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CellMar>
          <w:left w:w="0" w:type="dxa"/>
          <w:right w:w="0" w:type="dxa"/>
        </w:tblCellMar>
        <w:tblLook w:val="04A0"/>
      </w:tblPr>
      <w:tblGrid>
        <w:gridCol w:w="4361"/>
        <w:gridCol w:w="5812"/>
      </w:tblGrid>
      <w:tr w:rsidR="00441910" w:rsidRPr="00441910" w:rsidTr="00441910">
        <w:tc>
          <w:tcPr>
            <w:tcW w:w="4361" w:type="dxa"/>
            <w:tcMar>
              <w:top w:w="0" w:type="dxa"/>
              <w:left w:w="108" w:type="dxa"/>
              <w:bottom w:w="0" w:type="dxa"/>
              <w:right w:w="108" w:type="dxa"/>
            </w:tcMar>
            <w:hideMark/>
          </w:tcPr>
          <w:p w:rsidR="00441910" w:rsidRPr="00441910" w:rsidRDefault="00441910" w:rsidP="00441910">
            <w:pPr>
              <w:spacing w:line="312" w:lineRule="atLeast"/>
              <w:jc w:val="center"/>
              <w:rPr>
                <w:rFonts w:ascii="Times New Roman" w:eastAsia="Times New Roman" w:hAnsi="Times New Roman" w:cs="Times New Roman"/>
                <w:sz w:val="24"/>
                <w:szCs w:val="24"/>
              </w:rPr>
            </w:pPr>
            <w:r w:rsidRPr="00441910">
              <w:rPr>
                <w:rFonts w:ascii="Times New Roman" w:eastAsia="Times New Roman" w:hAnsi="Times New Roman" w:cs="Times New Roman"/>
                <w:sz w:val="24"/>
                <w:szCs w:val="24"/>
              </w:rPr>
              <w:t>UBND HUYỆN </w:t>
            </w:r>
            <w:r w:rsidR="00E807B6">
              <w:rPr>
                <w:rFonts w:ascii="Times New Roman" w:eastAsia="Times New Roman" w:hAnsi="Times New Roman" w:cs="Times New Roman"/>
                <w:sz w:val="24"/>
                <w:szCs w:val="24"/>
              </w:rPr>
              <w:t>NINH GIANG</w:t>
            </w:r>
          </w:p>
          <w:p w:rsidR="00441910" w:rsidRPr="009A3C12" w:rsidRDefault="00E807B6" w:rsidP="00441910">
            <w:pPr>
              <w:spacing w:line="338" w:lineRule="atLeast"/>
              <w:jc w:val="center"/>
              <w:rPr>
                <w:rFonts w:ascii="Times New Roman" w:eastAsia="Times New Roman" w:hAnsi="Times New Roman" w:cs="Times New Roman"/>
                <w:sz w:val="26"/>
                <w:szCs w:val="26"/>
                <w:u w:val="single"/>
              </w:rPr>
            </w:pPr>
            <w:r w:rsidRPr="009A3C12">
              <w:rPr>
                <w:rFonts w:ascii="Times New Roman" w:eastAsia="Times New Roman" w:hAnsi="Times New Roman" w:cs="Times New Roman"/>
                <w:b/>
                <w:bCs/>
                <w:sz w:val="26"/>
                <w:szCs w:val="26"/>
                <w:u w:val="single"/>
              </w:rPr>
              <w:t>TRƯỜNG TIỂU HỌC VĂN GIANG</w:t>
            </w:r>
          </w:p>
        </w:tc>
        <w:tc>
          <w:tcPr>
            <w:tcW w:w="5812" w:type="dxa"/>
            <w:tcMar>
              <w:top w:w="0" w:type="dxa"/>
              <w:left w:w="108" w:type="dxa"/>
              <w:bottom w:w="0" w:type="dxa"/>
              <w:right w:w="108" w:type="dxa"/>
            </w:tcMar>
            <w:hideMark/>
          </w:tcPr>
          <w:p w:rsidR="00441910" w:rsidRPr="00441910" w:rsidRDefault="00441910" w:rsidP="00441910">
            <w:pPr>
              <w:spacing w:line="312" w:lineRule="atLeast"/>
              <w:jc w:val="center"/>
              <w:rPr>
                <w:rFonts w:ascii="Times New Roman" w:eastAsia="Times New Roman" w:hAnsi="Times New Roman" w:cs="Times New Roman"/>
                <w:sz w:val="24"/>
                <w:szCs w:val="24"/>
              </w:rPr>
            </w:pPr>
            <w:r w:rsidRPr="00441910">
              <w:rPr>
                <w:rFonts w:ascii="Times New Roman" w:eastAsia="Times New Roman" w:hAnsi="Times New Roman" w:cs="Times New Roman"/>
                <w:b/>
                <w:bCs/>
                <w:sz w:val="24"/>
                <w:szCs w:val="24"/>
              </w:rPr>
              <w:t>CỘNG HÒA XÃ HỘI CHỦ NGHĨA VIỆT NAM</w:t>
            </w:r>
          </w:p>
          <w:p w:rsidR="00441910" w:rsidRPr="009A3C12" w:rsidRDefault="00441910" w:rsidP="00441910">
            <w:pPr>
              <w:spacing w:line="338" w:lineRule="atLeast"/>
              <w:jc w:val="center"/>
              <w:rPr>
                <w:rFonts w:ascii="Times New Roman" w:eastAsia="Times New Roman" w:hAnsi="Times New Roman" w:cs="Times New Roman"/>
                <w:sz w:val="26"/>
                <w:szCs w:val="26"/>
                <w:u w:val="single"/>
              </w:rPr>
            </w:pPr>
            <w:r w:rsidRPr="009A3C12">
              <w:rPr>
                <w:rFonts w:ascii="Times New Roman" w:eastAsia="Times New Roman" w:hAnsi="Times New Roman" w:cs="Times New Roman"/>
                <w:b/>
                <w:bCs/>
                <w:sz w:val="26"/>
                <w:szCs w:val="26"/>
                <w:u w:val="single"/>
              </w:rPr>
              <w:t>Độc lập – Tự do – Hạnh phúc</w:t>
            </w:r>
          </w:p>
        </w:tc>
      </w:tr>
    </w:tbl>
    <w:p w:rsidR="009A3C12" w:rsidRPr="007434A5" w:rsidRDefault="00FB1501" w:rsidP="00FB1501">
      <w:pPr>
        <w:spacing w:before="100" w:after="100"/>
        <w:rPr>
          <w:rFonts w:ascii="Times New Roman" w:eastAsia="Times New Roman" w:hAnsi="Times New Roman" w:cs="Times New Roman"/>
          <w:bCs/>
          <w:i/>
          <w:color w:val="242B2D"/>
          <w:sz w:val="24"/>
          <w:szCs w:val="24"/>
        </w:rPr>
      </w:pPr>
      <w:r w:rsidRPr="007434A5">
        <w:rPr>
          <w:rFonts w:ascii="Times New Roman" w:eastAsia="Times New Roman" w:hAnsi="Times New Roman" w:cs="Times New Roman"/>
          <w:bCs/>
          <w:i/>
          <w:color w:val="242B2D"/>
          <w:sz w:val="24"/>
          <w:szCs w:val="24"/>
        </w:rPr>
        <w:t xml:space="preserve">        Số: 05/QC – THVG                                                   Văn Giang, ngày </w:t>
      </w:r>
      <w:r w:rsidR="00CA46A4" w:rsidRPr="007434A5">
        <w:rPr>
          <w:rFonts w:ascii="Times New Roman" w:eastAsia="Times New Roman" w:hAnsi="Times New Roman" w:cs="Times New Roman"/>
          <w:bCs/>
          <w:i/>
          <w:color w:val="242B2D"/>
          <w:sz w:val="24"/>
          <w:szCs w:val="24"/>
        </w:rPr>
        <w:t>6</w:t>
      </w:r>
      <w:r w:rsidR="007434A5">
        <w:rPr>
          <w:rFonts w:ascii="Times New Roman" w:eastAsia="Times New Roman" w:hAnsi="Times New Roman" w:cs="Times New Roman"/>
          <w:bCs/>
          <w:i/>
          <w:color w:val="242B2D"/>
          <w:sz w:val="24"/>
          <w:szCs w:val="24"/>
        </w:rPr>
        <w:t xml:space="preserve"> </w:t>
      </w:r>
      <w:r w:rsidRPr="007434A5">
        <w:rPr>
          <w:rFonts w:ascii="Times New Roman" w:eastAsia="Times New Roman" w:hAnsi="Times New Roman" w:cs="Times New Roman"/>
          <w:bCs/>
          <w:i/>
          <w:color w:val="242B2D"/>
          <w:sz w:val="24"/>
          <w:szCs w:val="24"/>
        </w:rPr>
        <w:t xml:space="preserve">tháng </w:t>
      </w:r>
      <w:r w:rsidR="006C6B99">
        <w:rPr>
          <w:rFonts w:ascii="Times New Roman" w:eastAsia="Times New Roman" w:hAnsi="Times New Roman" w:cs="Times New Roman"/>
          <w:bCs/>
          <w:i/>
          <w:color w:val="242B2D"/>
          <w:sz w:val="24"/>
          <w:szCs w:val="24"/>
        </w:rPr>
        <w:t>01</w:t>
      </w:r>
      <w:r w:rsidRPr="007434A5">
        <w:rPr>
          <w:rFonts w:ascii="Times New Roman" w:eastAsia="Times New Roman" w:hAnsi="Times New Roman" w:cs="Times New Roman"/>
          <w:bCs/>
          <w:i/>
          <w:color w:val="242B2D"/>
          <w:sz w:val="24"/>
          <w:szCs w:val="24"/>
        </w:rPr>
        <w:t xml:space="preserve"> năm 2018</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32"/>
          <w:szCs w:val="32"/>
        </w:rPr>
        <w:t>QUY CHẾ</w:t>
      </w:r>
    </w:p>
    <w:p w:rsidR="00E807B6" w:rsidRDefault="00441910" w:rsidP="00441910">
      <w:pPr>
        <w:spacing w:before="100" w:after="100"/>
        <w:jc w:val="center"/>
        <w:rPr>
          <w:rFonts w:ascii="Times New Roman" w:eastAsia="Times New Roman" w:hAnsi="Times New Roman" w:cs="Times New Roman"/>
          <w:b/>
          <w:bCs/>
          <w:color w:val="242B2D"/>
          <w:sz w:val="26"/>
          <w:szCs w:val="26"/>
        </w:rPr>
      </w:pPr>
      <w:r w:rsidRPr="00441910">
        <w:rPr>
          <w:rFonts w:ascii="Times New Roman" w:eastAsia="Times New Roman" w:hAnsi="Times New Roman" w:cs="Times New Roman"/>
          <w:b/>
          <w:bCs/>
          <w:color w:val="242B2D"/>
          <w:sz w:val="26"/>
          <w:szCs w:val="26"/>
        </w:rPr>
        <w:t xml:space="preserve">QUẢN LÝ, SỬ DỤNG TÀI SẢN CÔNG TRONG TRƯỜNG </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i/>
          <w:iCs/>
          <w:color w:val="242B2D"/>
          <w:sz w:val="28"/>
          <w:szCs w:val="28"/>
        </w:rPr>
        <w:t>(Ban hành kèm theo Quyết định số 01/QĐ-HT ngày 06/</w:t>
      </w:r>
      <w:r w:rsidR="006C6B99">
        <w:rPr>
          <w:rFonts w:ascii="Times New Roman" w:eastAsia="Times New Roman" w:hAnsi="Times New Roman" w:cs="Times New Roman"/>
          <w:i/>
          <w:iCs/>
          <w:color w:val="242B2D"/>
          <w:sz w:val="28"/>
          <w:szCs w:val="28"/>
        </w:rPr>
        <w:t>01</w:t>
      </w:r>
      <w:r w:rsidRPr="00441910">
        <w:rPr>
          <w:rFonts w:ascii="Times New Roman" w:eastAsia="Times New Roman" w:hAnsi="Times New Roman" w:cs="Times New Roman"/>
          <w:i/>
          <w:iCs/>
          <w:color w:val="242B2D"/>
          <w:sz w:val="28"/>
          <w:szCs w:val="28"/>
        </w:rPr>
        <w:t>/201</w:t>
      </w:r>
      <w:r w:rsidR="00E807B6">
        <w:rPr>
          <w:rFonts w:ascii="Times New Roman" w:eastAsia="Times New Roman" w:hAnsi="Times New Roman" w:cs="Times New Roman"/>
          <w:i/>
          <w:iCs/>
          <w:color w:val="242B2D"/>
          <w:sz w:val="28"/>
          <w:szCs w:val="28"/>
        </w:rPr>
        <w:t>8</w:t>
      </w:r>
      <w:r w:rsidRPr="00441910">
        <w:rPr>
          <w:rFonts w:ascii="Times New Roman" w:eastAsia="Times New Roman" w:hAnsi="Times New Roman" w:cs="Times New Roman"/>
          <w:i/>
          <w:iCs/>
          <w:color w:val="242B2D"/>
          <w:sz w:val="28"/>
          <w:szCs w:val="28"/>
        </w:rPr>
        <w:t> của Hiệu trưởng trường TH</w:t>
      </w:r>
      <w:r w:rsidR="00E807B6">
        <w:rPr>
          <w:rFonts w:ascii="Times New Roman" w:eastAsia="Times New Roman" w:hAnsi="Times New Roman" w:cs="Times New Roman"/>
          <w:i/>
          <w:iCs/>
          <w:color w:val="242B2D"/>
          <w:sz w:val="28"/>
          <w:szCs w:val="28"/>
        </w:rPr>
        <w:t xml:space="preserve"> Văn Giang</w:t>
      </w:r>
      <w:r w:rsidRPr="00441910">
        <w:rPr>
          <w:rFonts w:ascii="Times New Roman" w:eastAsia="Times New Roman" w:hAnsi="Times New Roman" w:cs="Times New Roman"/>
          <w:i/>
          <w:iCs/>
          <w:color w:val="242B2D"/>
          <w:sz w:val="28"/>
          <w:szCs w:val="28"/>
        </w:rPr>
        <w:t>)</w:t>
      </w:r>
      <w:r w:rsidRPr="00441910">
        <w:rPr>
          <w:rFonts w:ascii="Times New Roman" w:eastAsia="Times New Roman" w:hAnsi="Times New Roman" w:cs="Times New Roman"/>
          <w:color w:val="242B2D"/>
          <w:sz w:val="28"/>
          <w:szCs w:val="28"/>
        </w:rPr>
        <w:t> </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Chương I</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QUY ĐỊNH CHUNG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 Phạm vi điều chỉnh và đối tượng áp dụng</w:t>
      </w:r>
    </w:p>
    <w:p w:rsidR="00441910" w:rsidRPr="00441910" w:rsidRDefault="00D51339"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1. Phạm vi điều chỉnh</w:t>
      </w:r>
    </w:p>
    <w:p w:rsidR="00441910" w:rsidRPr="00441910" w:rsidRDefault="00D51339"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 xml:space="preserve">Quy chế này quy định trách nhiệm và thẩm quyền quyết định của các bộ phận, cá nhân trong quản lý sử dụng, mua sắm, tiếp nhận, sửa chữa, điều chuyển, thu hồi và thanh </w:t>
      </w:r>
      <w:r>
        <w:rPr>
          <w:rFonts w:ascii="Times New Roman" w:eastAsia="Times New Roman" w:hAnsi="Times New Roman" w:cs="Times New Roman"/>
          <w:color w:val="242B2D"/>
          <w:sz w:val="28"/>
          <w:szCs w:val="28"/>
        </w:rPr>
        <w:t>lý tài sản công trong trường Trường tiểu học Văn Giang</w:t>
      </w:r>
      <w:r w:rsidR="00441910" w:rsidRPr="00441910">
        <w:rPr>
          <w:rFonts w:ascii="Times New Roman" w:eastAsia="Times New Roman" w:hAnsi="Times New Roman" w:cs="Times New Roman"/>
          <w:color w:val="242B2D"/>
          <w:sz w:val="28"/>
          <w:szCs w:val="28"/>
        </w:rPr>
        <w:t>.</w:t>
      </w:r>
    </w:p>
    <w:p w:rsidR="00441910" w:rsidRPr="00441910" w:rsidRDefault="00D51339"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2. Đối tượng áp dụng</w:t>
      </w:r>
    </w:p>
    <w:p w:rsidR="00441910" w:rsidRPr="00441910" w:rsidRDefault="00D51339"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a)   Hiệu trưởng, phó hiệu trưởng, các tổ trưởng ;</w:t>
      </w:r>
    </w:p>
    <w:p w:rsidR="00441910" w:rsidRPr="00441910" w:rsidRDefault="00D51339"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b)  Giáo viên, nhân viên ;</w:t>
      </w:r>
      <w:r w:rsidR="00441910" w:rsidRPr="00441910">
        <w:rPr>
          <w:rFonts w:ascii="Times New Roman" w:eastAsia="Times New Roman" w:hAnsi="Times New Roman" w:cs="Times New Roman"/>
          <w:b/>
          <w:bCs/>
          <w:color w:val="242B2D"/>
          <w:sz w:val="28"/>
          <w:szCs w:val="28"/>
        </w:rPr>
        <w:t> </w:t>
      </w:r>
    </w:p>
    <w:p w:rsidR="00441910" w:rsidRPr="00441910" w:rsidRDefault="00D51339"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c) </w:t>
      </w:r>
      <w:r w:rsidR="00441910" w:rsidRPr="00441910">
        <w:rPr>
          <w:rFonts w:ascii="Times New Roman" w:eastAsia="Times New Roman" w:hAnsi="Times New Roman" w:cs="Times New Roman"/>
          <w:b/>
          <w:bCs/>
          <w:color w:val="242B2D"/>
          <w:sz w:val="28"/>
          <w:szCs w:val="28"/>
        </w:rPr>
        <w:t> </w:t>
      </w:r>
      <w:r w:rsidR="00441910" w:rsidRPr="00441910">
        <w:rPr>
          <w:rFonts w:ascii="Times New Roman" w:eastAsia="Times New Roman" w:hAnsi="Times New Roman" w:cs="Times New Roman"/>
          <w:color w:val="242B2D"/>
          <w:sz w:val="28"/>
          <w:szCs w:val="28"/>
        </w:rPr>
        <w:t>Học sinh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2. Tài sản công trong nhà trường</w:t>
      </w:r>
    </w:p>
    <w:p w:rsidR="00441910" w:rsidRPr="00441910" w:rsidRDefault="00441910" w:rsidP="00D51339">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Tài sản công quy định trong Quy chế này là tài sản do Nhà nước giao cho nhà trường quản lý sử dụng, do đầu tư xây dựng, mua sắm từ nguồn vốn ngân sách nhà nước và các nguồn kinh phí khác hoặc do các tổ chức, cá nhân trong và ngoài nước biếu, tặng, đóng góp bao gồm:</w:t>
      </w:r>
    </w:p>
    <w:p w:rsidR="00441910" w:rsidRPr="00441910" w:rsidRDefault="00441910" w:rsidP="00D51339">
      <w:pPr>
        <w:spacing w:before="100" w:after="100"/>
        <w:ind w:firstLine="656"/>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Toàn bộ cơ sở vật chất của nhà trường gồm đất, phòng học, phòng làm việc, các phòng chức năng và các công trình phụ trợ phục vụ cho hoạt động dạy và học (nhà xe, cổng, tường rào, cột cờ, sân vườn, bồn hoa cây cảnh…), hệ thống kỹ thuật hạ tầng (hệ thống cấp điện, máy chiếu, máy tính , hệ thống cấp nước, hệ thống điện thoại, đường truyền internet…).</w:t>
      </w:r>
    </w:p>
    <w:p w:rsidR="00441910" w:rsidRPr="00441910" w:rsidRDefault="00D51339" w:rsidP="00D51339">
      <w:pPr>
        <w:spacing w:before="100" w:after="100"/>
        <w:ind w:left="656"/>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2.</w:t>
      </w:r>
      <w:r w:rsidR="00441910" w:rsidRPr="00441910">
        <w:rPr>
          <w:rFonts w:ascii="Times New Roman" w:eastAsia="Times New Roman" w:hAnsi="Times New Roman" w:cs="Times New Roman"/>
          <w:color w:val="242B2D"/>
          <w:sz w:val="28"/>
          <w:szCs w:val="28"/>
        </w:rPr>
        <w:t>Trang thiết bị</w:t>
      </w:r>
    </w:p>
    <w:p w:rsidR="00441910" w:rsidRPr="00441910" w:rsidRDefault="00441910" w:rsidP="000573BB">
      <w:pPr>
        <w:spacing w:before="100" w:after="100"/>
        <w:ind w:firstLine="656"/>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Trang thiết bị làm việc: Bàn ghế ngồi học và làm việc, tủ đựng tài liệu, tủ trưng bày, giá đựng tài liệu, bộ bàn ghế họp, tiếp khách; máy vi tính để bàn, m</w:t>
      </w:r>
      <w:r w:rsidR="00921642">
        <w:rPr>
          <w:rFonts w:ascii="Times New Roman" w:eastAsia="Times New Roman" w:hAnsi="Times New Roman" w:cs="Times New Roman"/>
          <w:color w:val="242B2D"/>
          <w:sz w:val="28"/>
          <w:szCs w:val="28"/>
        </w:rPr>
        <w:t xml:space="preserve">áy vi tính xách tay, máy in, </w:t>
      </w:r>
      <w:r w:rsidRPr="00441910">
        <w:rPr>
          <w:rFonts w:ascii="Times New Roman" w:eastAsia="Times New Roman" w:hAnsi="Times New Roman" w:cs="Times New Roman"/>
          <w:color w:val="242B2D"/>
          <w:sz w:val="28"/>
          <w:szCs w:val="28"/>
        </w:rPr>
        <w:t>máy chiếu, màn chiếu, thiết bị âm thanh; điện thoại, thiết bị kết nối internet.</w:t>
      </w:r>
    </w:p>
    <w:p w:rsidR="00441910" w:rsidRPr="00441910" w:rsidRDefault="00441910" w:rsidP="000573BB">
      <w:pPr>
        <w:spacing w:before="100" w:after="100"/>
        <w:ind w:firstLine="656"/>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 xml:space="preserve">b)  Các thiết bị thuộc hệ thống kỹ thuật hạ tầng của nhà trường: </w:t>
      </w:r>
      <w:r w:rsidR="00E17164">
        <w:rPr>
          <w:rFonts w:ascii="Times New Roman" w:eastAsia="Times New Roman" w:hAnsi="Times New Roman" w:cs="Times New Roman"/>
          <w:color w:val="242B2D"/>
          <w:sz w:val="28"/>
          <w:szCs w:val="28"/>
        </w:rPr>
        <w:t>T</w:t>
      </w:r>
      <w:r w:rsidRPr="00441910">
        <w:rPr>
          <w:rFonts w:ascii="Times New Roman" w:eastAsia="Times New Roman" w:hAnsi="Times New Roman" w:cs="Times New Roman"/>
          <w:color w:val="242B2D"/>
          <w:sz w:val="28"/>
          <w:szCs w:val="28"/>
        </w:rPr>
        <w:t>hiết bị chiếu sáng, thiết bị âm thanh, điện thoại, Website, mạng internet, vệ sinh,...</w:t>
      </w:r>
    </w:p>
    <w:p w:rsidR="00441910" w:rsidRPr="00441910" w:rsidRDefault="00441910" w:rsidP="000573BB">
      <w:pPr>
        <w:spacing w:before="100" w:after="100"/>
        <w:ind w:firstLine="656"/>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Các trang thiết bị khác: Máy thu hình, …các dụng cụ, vật tư hậu cần khác.</w:t>
      </w:r>
    </w:p>
    <w:p w:rsidR="00441910" w:rsidRPr="00441910" w:rsidRDefault="00441910" w:rsidP="000573BB">
      <w:pPr>
        <w:spacing w:before="100" w:after="100"/>
        <w:ind w:firstLine="656"/>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Các tài sản vật chất vô hình mà việc sử dụng phải chi trả bằng tiền như điện, cước điện thoại, internet, phần mềm tin học...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3. Nguyên tắc quản lý sử dụng tài sản công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Tất cả tài sản công trong trường được giao cho mỗi tổ, hoặc cá nhân trong trường quản lý sử dụng.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Tài sản công trong trường được quản lý thống nhất, có sự phân công, phân cấp quyền hạn, trách nhiệm giữa hiệu trưởng với các tổ trưởng với các cá nhân được giao trực tiếp sử dụng tài sản.</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Tài sản công phải được đầu tư, trang bị, sử dụng đúng mục đích, đúng tiêu chuẩn, định mức, chế độ bảo đảm công bằng, hiệu quả và tiết kiệm; được bảo dưỡng, sửa chữa và bảo vệ theo chế độ quy định.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 Việc xác định giá trị tài sản công trong các quan hệ mua, bán, thanh lý được thực hiện theo cơ chế thị trường và phù hợp với các quy định của pháp luật.</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5. Thực hiện công khai, minh bạch trong việc quản lý sử dụng tài sản công trong trường. Mọi hành vi vi phạm chế độ quản lý sử dụng tài sản công phải bị xử lý nghiêm minh.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6. Tài sản do phụ huynh học sinh tặng: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xml:space="preserve">+ Bàn giao cho </w:t>
      </w:r>
      <w:r w:rsidR="00324066">
        <w:rPr>
          <w:rFonts w:ascii="Times New Roman" w:eastAsia="Times New Roman" w:hAnsi="Times New Roman" w:cs="Times New Roman"/>
          <w:color w:val="242B2D"/>
          <w:sz w:val="28"/>
          <w:szCs w:val="28"/>
        </w:rPr>
        <w:t>nhà trường</w:t>
      </w:r>
      <w:r w:rsidRPr="00441910">
        <w:rPr>
          <w:rFonts w:ascii="Times New Roman" w:eastAsia="Times New Roman" w:hAnsi="Times New Roman" w:cs="Times New Roman"/>
          <w:color w:val="242B2D"/>
          <w:sz w:val="28"/>
          <w:szCs w:val="28"/>
        </w:rPr>
        <w:t xml:space="preserve"> sử dụng và quản lý.</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Không sử dụng làm việc riêng, không mang về nhà.</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Không tự ý thay đổi đồ khi chưa có sự đồng ý của HT,của hội đồng thẩm định.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Cuối năm phải bàn giao lại cho cán bộ phụ trách đồ dùng bảo quản.</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Chương II</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Mục 1</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QUẢN LÝ, SỬ DỤNG CƠ SỞ VẬT CHẤT TRƯỜNG HỌC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4. Đối tượng sử dụng diện tích làm việc, học tập tại trường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Hiệu trưởng, phó hiệu trưởng , giáo viên</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Các tổ chuyên môn, các đoàn thể trong trường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Các bộ phận chuyên quản : Kế toán, văn thư, y tế, thiết bị, thư viện, Đội</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 Toàn thể học sinh.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lastRenderedPageBreak/>
        <w:t>         Điều 5. Tiêu chuẩn, định mức sử dụng diện tích làm việc, học tập.</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Căn cứ vào các quy định hiện hành của Nhà nước và điều kiện về diện tích làm việc thực tế của nhà trường để quy định tiêu chuẩn, định mức sử dụng diện tích làm việc ( trừ phòng học ).</w:t>
      </w:r>
    </w:p>
    <w:p w:rsidR="00441910" w:rsidRPr="00441910" w:rsidRDefault="00441910" w:rsidP="00441910">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Điều 6. Bố trí sắp xếp nơi làm việc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Hiệu trưởng căn cứ vào tiêu chuẩn, định mức sử dụng diện tích làm việc tại trường, chức năng, nhiệm vụ, số lượng cán bộ, công chức của từng đơn vị và diện tích thực tế tại trường để xây dựng  phương án bố trí sắp xếp nơi làm việc cho các bộ phận chuyên quản, tổ chuyên môn, hội đồng sư phạm.</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Pr="00441910">
        <w:rPr>
          <w:rFonts w:ascii="Times New Roman" w:eastAsia="Times New Roman" w:hAnsi="Times New Roman" w:cs="Times New Roman"/>
          <w:b/>
          <w:bCs/>
          <w:color w:val="242B2D"/>
          <w:sz w:val="28"/>
          <w:szCs w:val="28"/>
        </w:rPr>
        <w:t>         Điều 7. Quyền và trách nhiệm của học sinh sử dụng cơ sở vật chất trường học.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w:t>
      </w:r>
      <w:r w:rsidRPr="00441910">
        <w:rPr>
          <w:rFonts w:ascii="Times New Roman" w:eastAsia="Times New Roman" w:hAnsi="Times New Roman" w:cs="Times New Roman"/>
          <w:color w:val="242B2D"/>
          <w:sz w:val="28"/>
          <w:szCs w:val="28"/>
        </w:rPr>
        <w:t>1. Chỉ được vào trường vào phòng học khi bảo vệ nhà trường mở cửa hoặc  vào phòng học thực hành, phòng bộ môn khi được sự cho phép của giáo viên giảng dạy hoặc của người quản lý phòng bộ môn.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2. Không mang các vật dễ cháy, nổ, thức ăn, nước uống và không xả rác trong phòng học, phòng chức năng;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3. Chỉ sử dụng máy tính, máy chiếu để học tập. Không được chơi trò chơi điện tử, nghe nhạc, xem phim, . . . và không được truy cập vào các trang web mà luật pháp Việt Nam nghiêm cấm.</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4. Không tự ý di chuyển hoặc thay đổi tháo ráp bất kỳ thiết bị nào trong phòng học.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5. Không sử dụng các đồ dùng, dụng cụ trong phòng khi chưa có sự đồng ý của giáo viên phụ trách;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6. Không tùy tiện xê dịch bàn ghế trong phòng học,có trách nhiệm bảo vệ tài sản bên trong.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8. Yêu cầu về sử dụng CSVC nhà trường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Yêu cầu chung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Toàn bộ CSVC của nhà trường phải được sử dụng đúng công năng thiết kế, đúng mục đích. Không sử dụng các diện tích làm việc, công trình phụ trợ vào mục đích sản xuất kinh doanh, cho thuê, cho mượn hoặc bố trí cho cán bộ, công chức làm chỗ ở tạm thời hoặc lâu dài.</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Toàn bộ khối công trình của nhà trường có sơ đồ thể hiện rõ các khối nhà, các phòng làm việc, bộ phận công cộng, kỹ thuật, phục vụ, vị trí làm việc của các đơn vị và được đặt ở vị trí thuận lợi phục vụ cho công tác điều hành.</w:t>
      </w:r>
    </w:p>
    <w:p w:rsidR="00441910" w:rsidRPr="00441910" w:rsidRDefault="00DB14AD" w:rsidP="004E5043">
      <w:pPr>
        <w:spacing w:before="100" w:after="100"/>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c)</w:t>
      </w:r>
      <w:r w:rsidR="00441910" w:rsidRPr="00441910">
        <w:rPr>
          <w:rFonts w:ascii="Times New Roman" w:eastAsia="Times New Roman" w:hAnsi="Times New Roman" w:cs="Times New Roman"/>
          <w:color w:val="242B2D"/>
          <w:sz w:val="28"/>
          <w:szCs w:val="28"/>
        </w:rPr>
        <w:t xml:space="preserve"> Bên ngoài phòng làm việc có biển tên ghi tên </w:t>
      </w:r>
      <w:r>
        <w:rPr>
          <w:rFonts w:ascii="Times New Roman" w:eastAsia="Times New Roman" w:hAnsi="Times New Roman" w:cs="Times New Roman"/>
          <w:color w:val="242B2D"/>
          <w:sz w:val="28"/>
          <w:szCs w:val="28"/>
        </w:rPr>
        <w:t>phòng.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đ) Các bộ phận công cộng, kỹ thuật và phục vụ có biển tên để thuận lợi cho việc quản lý sử dụn</w:t>
      </w:r>
      <w:r w:rsidR="00DB14AD">
        <w:rPr>
          <w:rFonts w:ascii="Times New Roman" w:eastAsia="Times New Roman" w:hAnsi="Times New Roman" w:cs="Times New Roman"/>
          <w:color w:val="242B2D"/>
          <w:sz w:val="28"/>
          <w:szCs w:val="28"/>
        </w:rPr>
        <w:t>g</w:t>
      </w:r>
      <w:r w:rsidRPr="00441910">
        <w:rPr>
          <w:rFonts w:ascii="Times New Roman" w:eastAsia="Times New Roman" w:hAnsi="Times New Roman" w:cs="Times New Roman"/>
          <w:color w:val="242B2D"/>
          <w:sz w:val="28"/>
          <w:szCs w:val="28"/>
        </w:rPr>
        <w:t>. Đối với các thiết bị nguy hiểm có biển cảnh báo và biện pháp ngăn ngừa những người không có trách nhiệm sử dụng.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Yêu cầu về phần sử dụng chung</w:t>
      </w:r>
      <w:r w:rsidR="00A53FE9">
        <w:rPr>
          <w:rFonts w:ascii="Times New Roman" w:eastAsia="Times New Roman" w:hAnsi="Times New Roman" w:cs="Times New Roman"/>
          <w:color w:val="242B2D"/>
          <w:sz w:val="28"/>
          <w:szCs w:val="28"/>
        </w:rPr>
        <w:t>.</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Phần sử dụng chung trong trường là phần được dùng cho các tổ chuyên môn, bộ phận và cá nhân trong trường cùng sử dụng, bao gồm các phòng học, phòng họp, hội trường, hành lang, cầu thang, các khu vệ sinh chung, nhà để xe, sân vườn, bồn hoa cây cảnh, các hệ thống cấp điện, cấp nước, thông tin liên lạc...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Các tổ chuyên môn, các bộ phận và cá nhân trong trường có quyền bình đẳng trong việc sử dụng phần sử dụng chung và có nghĩa vụ chấp hành các quy định tại quy chế này về quản lý sử dụng phần sử dụng chung</w:t>
      </w:r>
    </w:p>
    <w:p w:rsidR="00C064D6" w:rsidRDefault="00441910" w:rsidP="004E5043">
      <w:pPr>
        <w:spacing w:before="100" w:after="100"/>
        <w:ind w:firstLine="720"/>
        <w:jc w:val="both"/>
        <w:rPr>
          <w:rFonts w:ascii="Times New Roman" w:eastAsia="Times New Roman" w:hAnsi="Times New Roman" w:cs="Times New Roman"/>
          <w:color w:val="242B2D"/>
          <w:sz w:val="28"/>
          <w:szCs w:val="28"/>
        </w:rPr>
      </w:pPr>
      <w:r w:rsidRPr="00441910">
        <w:rPr>
          <w:rFonts w:ascii="Times New Roman" w:eastAsia="Times New Roman" w:hAnsi="Times New Roman" w:cs="Times New Roman"/>
          <w:color w:val="242B2D"/>
          <w:sz w:val="28"/>
          <w:szCs w:val="28"/>
        </w:rPr>
        <w:t xml:space="preserve">c) Phòng Hội đồng để tổ chức các cuộc họp, hội nghị, hội thảo. </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Không gây cản trở làm ảnh hưởng đến an toàn, thuận tiện trong đi lại  tại hành lang, cầu thang. Không để các đồ dùng và trang thiết bị làm việc dùng riêng của các tổ chuyên môn, bộ phận, cá nhân tại các khu vực hành lang, cầu thang.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đ)Khi vận chuyển trang thiết bị phải tránh va chạm gây sứt xát tường, sàn nhà ...</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e) Giữ gìn các khu vệ sinh sạch sẽ, khô ráo và thoáng khí. Không đổ rác sinh hoạt và các loại rác khác vào các chậu rửa, bồn vệ sinh.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g) Nhà để xe của trường được dùng để xe máy, xe đạp cho học sinh,cán bộ, giáo viên, nhân viên trong trường</w:t>
      </w:r>
      <w:r w:rsidR="00C064D6">
        <w:rPr>
          <w:rFonts w:ascii="Times New Roman" w:eastAsia="Times New Roman" w:hAnsi="Times New Roman" w:cs="Times New Roman"/>
          <w:color w:val="242B2D"/>
          <w:sz w:val="28"/>
          <w:szCs w:val="28"/>
        </w:rPr>
        <w:t xml:space="preserve"> </w:t>
      </w:r>
      <w:r w:rsidRPr="00441910">
        <w:rPr>
          <w:rFonts w:ascii="Times New Roman" w:eastAsia="Times New Roman" w:hAnsi="Times New Roman" w:cs="Times New Roman"/>
          <w:color w:val="242B2D"/>
          <w:sz w:val="28"/>
          <w:szCs w:val="28"/>
        </w:rPr>
        <w:t>và khách đến liên hệ công tác. Cấm hút thuốc và để xe bị rò rỉ xăng dầu trong khu vực nhà xe.</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h) Sân trường chỉ được sử dụng để phục vụ các hoạt động tập thể. Không sử dụng sân để cho thuê, kinh doanh và làm dịch vụ dưới mọi hình thức.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i) Không tự thay đổi vị trí cây cảnh trong trường khi chưa có sự đồng ý của Hiệu trưởng. Không ngắt hoa và vứt rác, tàn thuốc lá vào các chậu cây.</w:t>
      </w:r>
    </w:p>
    <w:p w:rsidR="00AB6DD5" w:rsidRDefault="00441910" w:rsidP="004E5043">
      <w:pPr>
        <w:spacing w:before="100" w:after="100"/>
        <w:ind w:firstLine="720"/>
        <w:jc w:val="both"/>
        <w:rPr>
          <w:rFonts w:ascii="Times New Roman" w:eastAsia="Times New Roman" w:hAnsi="Times New Roman" w:cs="Times New Roman"/>
          <w:color w:val="242B2D"/>
          <w:sz w:val="28"/>
          <w:szCs w:val="28"/>
        </w:rPr>
      </w:pPr>
      <w:r w:rsidRPr="00441910">
        <w:rPr>
          <w:rFonts w:ascii="Times New Roman" w:eastAsia="Times New Roman" w:hAnsi="Times New Roman" w:cs="Times New Roman"/>
          <w:color w:val="242B2D"/>
          <w:sz w:val="28"/>
          <w:szCs w:val="28"/>
        </w:rPr>
        <w:t xml:space="preserve">k) Cấm đấu nối hệ thống cấp điện, cấp nước, điện thoại, mạng internet ra ngoài khuôn viên trường cho người ngoài sử dụng; </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l) Đặt, treo panô, băng rôn và khẩu hiệu trong trường phải bảo đảm vẻ mỹ quan, dễ nhìn. Không sử dụng panô, băng rôn, khẩu hiệu trong cơ quan với mục đích quảng cáo kinh doanh thương mại.</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m) Trừ các trường hợp đột xuất hoặc bất thường về thời tiết, hệ thống chiếu sáng hành lang, sân trường chỉ được bật qua đêm từ 18 giờ 30 đến 5 giờ  sáng đối với chế độ mùa hè và từ 17 giờ 30 đến 6 giờ sáng đối với chế độ mùa đông .</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Yêu cầu về phần sử dụng riêng tại các bộ phận.</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a)   Phần sử dụng riêng của các tổ chuyên môn, bộ phận là phần diện tích và các thiết bị kỹ thuật kèm theo ( phòng làm việc, đèn chiếu sáng, quạt điện</w:t>
      </w:r>
      <w:r w:rsidR="003B4E51">
        <w:rPr>
          <w:rFonts w:ascii="Times New Roman" w:eastAsia="Times New Roman" w:hAnsi="Times New Roman" w:cs="Times New Roman"/>
          <w:color w:val="242B2D"/>
          <w:sz w:val="28"/>
          <w:szCs w:val="28"/>
        </w:rPr>
        <w:t>, máy tính,</w:t>
      </w:r>
      <w:r w:rsidRPr="00441910">
        <w:rPr>
          <w:rFonts w:ascii="Times New Roman" w:eastAsia="Times New Roman" w:hAnsi="Times New Roman" w:cs="Times New Roman"/>
          <w:color w:val="242B2D"/>
          <w:sz w:val="28"/>
          <w:szCs w:val="28"/>
        </w:rPr>
        <w:t>…) được giao cho từng bộ phận  trực tiếp quản lý và sử dụng.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Các phòng làm việc phải được bố trí hợp lý, gọn gàng, thuận lợi cho các thành viên trong phòng làm việc và đảm bảo các điều kiện về chiếu sáng, điều tiết không khí, đường truyền tín hiệu điện thoại, internet theo đúng các quy định của nhà nước.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Không đem các chất độc hại, chất dễ gây cháy nổ, ô nhiễm môi trường vào phòng làm việc.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Phương tiện thông tin liên lạc ( kể cả đường truyền internet ) tại trường chỉ được sử dụng vào mục đích công vụ. Khi cần vì trường hợp đặc biệt thì có thể mượn.</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xml:space="preserve">đ) Hết giờ làm việc phải tắt các thiết bị điện và khóa cửa. Khi nghỉ làm việc từ </w:t>
      </w:r>
      <w:r w:rsidR="00DC49B6">
        <w:rPr>
          <w:rFonts w:ascii="Times New Roman" w:eastAsia="Times New Roman" w:hAnsi="Times New Roman" w:cs="Times New Roman"/>
          <w:color w:val="242B2D"/>
          <w:sz w:val="28"/>
          <w:szCs w:val="28"/>
        </w:rPr>
        <w:t>10</w:t>
      </w:r>
      <w:r w:rsidRPr="00441910">
        <w:rPr>
          <w:rFonts w:ascii="Times New Roman" w:eastAsia="Times New Roman" w:hAnsi="Times New Roman" w:cs="Times New Roman"/>
          <w:color w:val="242B2D"/>
          <w:sz w:val="28"/>
          <w:szCs w:val="28"/>
        </w:rPr>
        <w:t xml:space="preserve"> ngày trở lên, phải niêm phong phòng làm việc. Hàng ngày sau mỗi buổi học khóa hết các phòng học, cổng.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 Tổ Văn phòng có trách nhiệm hướng dẫn, theo dõi, đôn đốc, kiểm tra cán bộ, viên chức và khách đến cơ quan trong việc thực hiện nội quy nhà trường, quy định về an toàn phòng chống cháy, nổ trong trường và các quy định tại quy chế này về quản lý sử dụng phần sử dụng chung.</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5. Hiệu trưởng có trách nhiệm tổ chức phân công người theo dõi kiểm tra việc thực hiện các quy định về quản lý sử dụng phần sử dụng riêng tại các bộ phận chuyên quản, tổ chuyên môn...</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Điều 9. Bảo dưỡng, sửa chữa nơi làm việc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Nhà trường thực hiện việc sửa chữa và định kỳ bảo dưỡng toàn bộ cơ sở vật chất theo chế độ, tiêu chuẩn kỹ thuật quy định.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Nhà công phân công một cán bộ kiêm nhiệm công tác duy tu,bão dưỡng nhỏ; các trường hợp quy mô hơn thì hợp đồng thuê mướn thợ...</w:t>
      </w:r>
    </w:p>
    <w:p w:rsidR="00441910" w:rsidRPr="00441910" w:rsidRDefault="00627AB7" w:rsidP="004E5043">
      <w:pPr>
        <w:spacing w:before="100" w:after="100"/>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3</w:t>
      </w:r>
      <w:r w:rsidR="00441910" w:rsidRPr="00441910">
        <w:rPr>
          <w:rFonts w:ascii="Times New Roman" w:eastAsia="Times New Roman" w:hAnsi="Times New Roman" w:cs="Times New Roman"/>
          <w:color w:val="242B2D"/>
          <w:sz w:val="28"/>
          <w:szCs w:val="28"/>
        </w:rPr>
        <w:t>. Các tổ chuyên môn, bộ phận và cá nhân có trách nhiệm thông báo kịp thời các hư hỏng với bộ phận văn phòng để trình Hiệu trưởng xem xét, sửa chữa. Không tự ý và gọi người ngoài vào bảo dưỡng, sửa chữa.</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Các tổ chuyên môn, bộ phận và cá nhân có trách nhiệm tạo điều kiện thuận lợi để người có trách nhiệm thực hiện việc bảo dưỡng, sửa chữa đối với phần sử dụng riêng của mình.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xml:space="preserve">4. Không làm sai lệch thiết kế hiện trạng trong quá trình bảo dưỡng, sửa chữa CSVC nhà trường. Trường hợp cần thiết phải thay đổi thiết kế thì bộ phận, cá </w:t>
      </w:r>
      <w:r w:rsidRPr="00441910">
        <w:rPr>
          <w:rFonts w:ascii="Times New Roman" w:eastAsia="Times New Roman" w:hAnsi="Times New Roman" w:cs="Times New Roman"/>
          <w:color w:val="242B2D"/>
          <w:sz w:val="28"/>
          <w:szCs w:val="28"/>
        </w:rPr>
        <w:lastRenderedPageBreak/>
        <w:t>nhân thực hiện bảo dưỡng, sửa chữa đề xuất phương án và chỉ tiến hành bảo dưỡng, sửa chữa sau khi được Hiệu trưởng đồng ý.</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10. Thu hồi diện tích làm việc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Diện tích làm việc đã giao cho các bộ phận được thu hồi trong các trường hợp sau:</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Vượt quá tiêu chuẩn định mức hoặc sử dụng sai mục đích.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Được bố trí diện tích làm việc mới.</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Trình tự, thủ tục thu hồi diện tích làm việc tại trường được thực hiện theo hướng dẫn, quy định của các cấp có thẩm quyền.</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Mục 2</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QUẢN LÝ, SỬ DỤNG TRANG THIẾT BỊ</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Điều 11. Tiêu chuẩn, định mức trang thiết bị làm việc</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Căn cứ vào các quy định của nhà nước, tình hình thực tế của nhà trường, khả năng ngân sách để xây dựng tiêu chuẩn định mức trang thiết bị và phương tiện làm việc bảo đảm chuẩn hóa, hiện đại hóa.</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Tiêu chuẩn định mức trang thiết bị làm việc của nhà trường thực hiện theo quy định của Bộ Tài chính.</w:t>
      </w:r>
    </w:p>
    <w:p w:rsidR="00441910" w:rsidRPr="00441910" w:rsidRDefault="00441910" w:rsidP="004E5043">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Điều 12. Trang bị, mua sắm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Việc trang bị, mua sắm trang thiết bị phải đúng đối tượng, phục vụ hiệu quả cho công việc, đáp ứng yêu cầu đổi mới theo quy định do cơ quan có thẩm quyền ban hành.</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Căn cứ tiêu chuẩn định mức trang thiết bị và phương tiện làm việc trong trường phổ phông, Hiệu trưởng chỉ đạo lập kế hoạch trang bị hoặc mua sắm trang thiết bị để bảo đảm điều kiện làm việc cho cán bộ, giáo viên, nhân viên .</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Bộ phận kế toán căn cứ yêu cầu trang bị, mua sắm, tiêu chuẩn định mức trang thiết bị và phương tiện làm việc, dự toán ngân sách được giao để tham mưu cho Hiệu trưởng thực hiện trang bị hoặc mua sắm trang thiết bị làm việc cho cán bộ, công chức trong trường theo các quy định của Bộ Tài chính.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13. Tiếp nhận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Các trường hợp tiếp nhận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Trang thiết bị được Phòng Tài chính, Phòng Giáo dục cấp</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Do các tổ chức và cá nhân tài trợ, cho, tặng.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Việc bàn giao trang thiết bị trong quá trình tiếp nhận phải được thể hiện bằng biên bản và có xác nhận của Hiệu trưởng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3. Không tiếp nhận các trang thiết bị đã có thời gian sử dụng quá 2/3 thời gian khấu hao theo quy định; các thiết bị hư hỏng hoặc không phù hợp, không tương thích với các trang thiết bị sẵn có tại trường; các thiết bị mà trường không có nhu cầu.</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 Các trang thiết bị được tiếp nhận phải được vào sổ theo dõi sử dụng tại trường, bộ phận kế toán theo dõi để thực hiện việc kê tăng tài sản của trường.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14. Quản lý, sử dụng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Trang thiết bị phải được sử dụng đúng tiêu chuẩn, định mức và đúng mục đích.</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Không tự ý đổi, trao đổi, cho, tặng, biếu trang thiết bị làm việc của cơ quan; điều chuyển trang thiết bị làm việc giữa các tổ, cá nhân khi chưa được phép của cấp có thẩm quyền..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Mang trang thiết bị ra ngoài trường phải báo cáo Hiệu trưởng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 Phân công quản lý các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a/ Phòng thiết bị dạy học và thiết bị dạy học khác do cán bộ thiết bị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b/ Các phòng học do các lớp tự quản;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Phòng Đội do GV  TPT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Phòng thư viện do cán bộ thư viện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ê/ Phòng Hội đồng GV, nhà kho và các dụng cụ hậu cần khác do bảo vệ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h/ Phòng y tế do cán bộ y tế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i / Các loại dụng cụ, vật tư phục vụ sinh hoạt CLB do các CLB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k/ Các phòng làm việc khác do cá nhân đang sử dụng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5 .Quản lý, sử dụng trang thiết bị tại các bộ phận chuyên quản, cá nhân: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Trang thiết bị làm việc tại các bộ phận chuyên môn bao gồm: bàn ghế làm việc, máy vi tính, tủ hồ sơ...) do tổ đó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Trang thiết bị làm việc sử dụng chung trong trường do tổ văn phòng quản lý.</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Trang thiết bị làm việc của các cá nhân ( HT, Phó HT, Y tế, Thiêt bị, Văn thư, Kế toán, Thư viện, Đội ) như bàn ghế làm việc, máy vi tính, tủ hồ sơ... do cá nhân đó quản lý.</w:t>
      </w:r>
    </w:p>
    <w:p w:rsidR="00441910" w:rsidRPr="00441910" w:rsidRDefault="00441910" w:rsidP="00804618">
      <w:pPr>
        <w:spacing w:before="100" w:after="100"/>
        <w:ind w:firstLine="720"/>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01 máy laptop do KT quản lý dùng để soạn thảo văn bản, khai thác thông tin và để lưu trữ các thông tin quan trọng của trường.</w:t>
      </w:r>
    </w:p>
    <w:p w:rsidR="00441910" w:rsidRPr="00441910" w:rsidRDefault="00441910" w:rsidP="00804618">
      <w:pPr>
        <w:spacing w:before="100" w:after="100"/>
        <w:ind w:firstLine="720"/>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 xml:space="preserve">01 máy laptop do </w:t>
      </w:r>
      <w:r w:rsidR="000A6210">
        <w:rPr>
          <w:rFonts w:ascii="Times New Roman" w:eastAsia="Times New Roman" w:hAnsi="Times New Roman" w:cs="Times New Roman"/>
          <w:color w:val="242B2D"/>
          <w:sz w:val="28"/>
          <w:szCs w:val="28"/>
        </w:rPr>
        <w:t>Y tế quản lý và</w:t>
      </w:r>
      <w:r w:rsidRPr="00441910">
        <w:rPr>
          <w:rFonts w:ascii="Times New Roman" w:eastAsia="Times New Roman" w:hAnsi="Times New Roman" w:cs="Times New Roman"/>
          <w:color w:val="242B2D"/>
          <w:sz w:val="28"/>
          <w:szCs w:val="28"/>
        </w:rPr>
        <w:t xml:space="preserve"> sử dụng và để CBGV dùng khi đi tập huấn</w:t>
      </w:r>
      <w:r w:rsidR="000A6210">
        <w:rPr>
          <w:rFonts w:ascii="Times New Roman" w:eastAsia="Times New Roman" w:hAnsi="Times New Roman" w:cs="Times New Roman"/>
          <w:color w:val="242B2D"/>
          <w:sz w:val="28"/>
          <w:szCs w:val="28"/>
        </w:rPr>
        <w:t>, công việc chung của trường</w:t>
      </w:r>
      <w:r w:rsidRPr="00441910">
        <w:rPr>
          <w:rFonts w:ascii="Times New Roman" w:eastAsia="Times New Roman" w:hAnsi="Times New Roman" w:cs="Times New Roman"/>
          <w:color w:val="242B2D"/>
          <w:sz w:val="28"/>
          <w:szCs w:val="28"/>
        </w:rPr>
        <w:t>.</w:t>
      </w:r>
    </w:p>
    <w:p w:rsidR="00441910" w:rsidRPr="00441910" w:rsidRDefault="00441910" w:rsidP="00804618">
      <w:pPr>
        <w:spacing w:before="100" w:after="100"/>
        <w:ind w:firstLine="720"/>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Hiệu trưởng có trách nhiệm: Bố trí, điều chuyển trang thiết bị làm việc trong nội bộ trường; bố trí, phân công người quản lý sử dụng, theo dõi các trang thiết bị dùng chung, lập sổ sách, lưu giữ các hồ sơ biên bản giao nhận trang thiết bị và theo dõi toàn bộ trang thiết bị làm việc của trường; điều chuyển các trang thiết bị làm việc không còn nhu cầu sử dụng hoặc thanh lý các trang thiết bị không còn sử dụng được; chỉ đạo công tác bàn giao tài sản công và hồ sơ quản lý, sử dụng tài sản công khi có sự thay đổi tổ chức hoặc thay đổi Hiệu trưởng .</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e)   Toàn thể các cán bộ, giáo viên, nhân viên có trách nhiệm: Bảo quản, giữ gìn và sử dụng trang thiết bị lâu bền, tiết kiệm, hiệu quả; thông báo kịp thời về tình trạng hư hỏng của trang thiết bị được giao và đề nghị nhà trường sửa chữa; báo cáo Hiệu trưởng khi xảy ra mất mát hoặc các biến động, thay đổi liên quan đến trang thiết bị được giao; bảo quản tem kiểm kê dán trên thiết bị trong quá trình sử dụng và bàn giao bằng biên bản các trang thiết bị được giao khi chuyển công tác, nghỉ hưu.</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g) Tổ trưởng văn phòng có trách nhiệm theo dõi và đôn đốc các tổ và cá nhân trong trường thực hiện các quy định về quản lý, sử dụng trang thiết bị của Quy chế này.</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15. Theo dõi và kiểm kê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Sổ sách quản lý trang thiết bị gồm:</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 a)   Sổ tài sản  và sổ theo dõi sử dụng tài sản  của trường do kế toán lập và lưu giữ theo quy định của Nhà nước.  </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b)  Sổ tài sản về sách thư viện, thiết bị dạy học do cán bộ thư viện, cán bộ thiết bị lập và lưu giữ .</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c)   Các loại sổ sách trên bảo đảm yêu cầu thông tin gồm</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Tổng hợp danh mục trang thiết bị làm việc của đơn vị, số lượng, quy cách và ngày trang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Nguồn gốc thiết bị (mua sắm, quà tặng, tài trợ…);</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Họ tên và chữ ký của người được giao sử dụng trang thiết bị và người được giao theo dõi việc sử dụng thiết bị của đơn vị;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Xác nhận của Hiệu trưởng và các bộ phận liên quan.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Các biên bản bàn giao liên quan đến việc trang bị, mua sắm, tiếp nhận, thu hồi, điều chuyển và thanh lý trang thiết bị của đơn vị.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Kiểm kê trang thiết bị:</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  a)  Việc kiểm kê trang thiết bị trong trường được thực hiện theo quy định của nhà nước hoặc đột xuất theo yêu cầu của các cấp có thẩm quyền.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   b) Thành phần kiểm kê gồm đại diện BGH, Ban TTND, đại diện CĐCS và các nhân có liên quan.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 c)   Các đơn vị có trách nhiệm cử đại diện tham gia kiểm kê trang thiết bị và tạo điều kiện cho việc kiểm kê được thực hiện đúng kế hoạch.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16. Bảo dưỡng, sửa chữa trang thiết bị</w:t>
      </w:r>
    </w:p>
    <w:p w:rsidR="00441910" w:rsidRPr="00441910" w:rsidRDefault="00804618" w:rsidP="00804618">
      <w:pPr>
        <w:spacing w:before="100" w:after="100"/>
        <w:ind w:firstLine="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1.</w:t>
      </w:r>
      <w:r w:rsidR="00441910" w:rsidRPr="00441910">
        <w:rPr>
          <w:rFonts w:ascii="Times New Roman" w:eastAsia="Times New Roman" w:hAnsi="Times New Roman" w:cs="Times New Roman"/>
          <w:color w:val="000000"/>
          <w:sz w:val="14"/>
          <w:szCs w:val="14"/>
        </w:rPr>
        <w:t>  </w:t>
      </w:r>
      <w:r w:rsidR="00441910" w:rsidRPr="00441910">
        <w:rPr>
          <w:rFonts w:ascii="Times New Roman" w:eastAsia="Times New Roman" w:hAnsi="Times New Roman" w:cs="Times New Roman"/>
          <w:color w:val="242B2D"/>
          <w:sz w:val="28"/>
          <w:szCs w:val="28"/>
        </w:rPr>
        <w:t>Các tổ chuyên môn, bộ phận chuyên quản và cá nhân khi phát hiện trang thiết bị hư hỏng có trách nhiệm báo cho PHT phụ trách CSVC tổng hợp trình Hiệu trưởng xem xét, sửa chữa và không tự sửa chữa, thay thế linh kiện, phụ tùng hoặc thuê mượn người ngoài sửa chữa, thay thế linh kiện, phụ tùng của các trang thiết bị được giao.</w:t>
      </w:r>
    </w:p>
    <w:p w:rsidR="00441910" w:rsidRPr="00441910" w:rsidRDefault="00441910" w:rsidP="00804618">
      <w:pPr>
        <w:spacing w:before="100" w:after="100"/>
        <w:ind w:firstLine="36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w:t>
      </w:r>
      <w:r w:rsidRPr="00441910">
        <w:rPr>
          <w:rFonts w:ascii="Times New Roman" w:eastAsia="Times New Roman" w:hAnsi="Times New Roman" w:cs="Times New Roman"/>
          <w:color w:val="000000"/>
          <w:sz w:val="14"/>
          <w:szCs w:val="14"/>
        </w:rPr>
        <w:t>      </w:t>
      </w:r>
      <w:r w:rsidRPr="00441910">
        <w:rPr>
          <w:rFonts w:ascii="Times New Roman" w:eastAsia="Times New Roman" w:hAnsi="Times New Roman" w:cs="Times New Roman"/>
          <w:color w:val="242B2D"/>
          <w:sz w:val="28"/>
          <w:szCs w:val="28"/>
        </w:rPr>
        <w:t>Nhà trường thực hiện việc sửa chữa và định kỳ bảo dưỡng trang thiết bị trong trường theo chế độ, tiêu chuẩn kỹ thuật quy định.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17. Thu hồi trang thiết bị làm việc .</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Các trường hợp thu hồi trang thiết bị làm việc như sau:</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Sử dụng không đúng mục đích, không đúng đối tượng.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Nghỉ hưu hoặc chuyển công tác.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Sau khi hoàn thành chương trình năm học.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Trình tự, thủ tục và thẩm quyền thu hồi trang thiết bị làm việc được thực hiện theo các bước sau:</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Văn phòng nhà trường khi phát hiện các trang thiết bị thuộc các trường hợp quy định tại Khoản 1 Điều này trong thời hạn 03 ngày phải lập danh mục và báo cáo Hiệu trưởng.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Văn phòng nhà trường thông báo bằng văn bản đến các trường hợp nêu trong khoản 1 điều nầy danh mục các trang thiết bị thu hồi, lý do và thời gian dự kiến sẽ thu hồi.</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Chậm nhất 03 ngày kể từ ngày nhận được thông báo, cá nhân có trang thiết bị thu hồi có ý kiến trả lời bằng văn bản gửi nhà trường.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Sau khi có ý kiến trả lời hoặc quá thời hạn mà cá nhân đó không có ý kiến trả lời, Hiệu trưởng căn cứ vào khoản 1 điều này quyết định thu hồi hoặc không thu hồi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đ) Cá nhân hoặc bộ phận nào có trang thiết bị thu hồi phải thực hiện chuyển giao đầy đủ trang thiết bị về cho các bộ phận hoặc văn phòng trường theo thời hạn trong quyết định thu hồi.</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e) Văn phòng nhà trường tổ chức thu hồi theo quyết định của Hiệu trưởng ; bảo quản và đề xuất sử dụng hiệu quả trang thiết bị thu hồi.</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18. Điều chuyển trang thiết bị làm việc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Các trường hợp điều chuyển trang thiết bị làm việc: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Điều chuyển giữa các đơn vị trong ngành từ nơi thừa sang nơi thiếu theo chỉ đạo của các cấp có thẩm quyền.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Để mang lại hiệu quả sử dụng cao hơn.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Điều chuyển cho các đơn vị ngoài ngành khi trường không có nhu cầu sử dụng.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Trình tự, thủ tục và thẩm quyền điều chuyển trang thiết bị được thực hiện theo quy định của Nhà nước.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19. Thanh lý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Các trường hợp thanh lý trang thiết bị:</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Đã sử dụng vượt quá thời hạn khấu hao mà không thể tiếp tục sử dụng.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Bị hư hỏng không thể sử dụng hoặc bị hư hỏng mà sửa chữa không khắc phục được.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Trình tự, thủ tục và thẩm quyền thanh lý trang thiết bị được thực hiện theo quy định của Bộ Tài chính.</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Trong thời hạn 03  ngày kể từ ngày Hiệu trưởng có quyết định thanh lý trang thiết bị, ra quyết định thành lập Hội đồng thanh lý trang thiết bị để tổ chức thanh lý trang thiết bị gồm các thành phần sau:  </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Đại diện cấp ủy</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Đại diện BCH CĐCS</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Đại diện BGH</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Đại diện Ban TTND</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Kế toán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b)  Hội đồng thanh lý trang thiết bị tổ chức thực hiện thanh lý trang thiết bị theo quy định của nhà nước.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Việc thanh lý trang thiết bị phải được công khai đến toàn thể cán bộ viên chức được biết để theo dõi giám sát.</w:t>
      </w:r>
    </w:p>
    <w:p w:rsidR="008E53ED" w:rsidRDefault="008E53ED" w:rsidP="00441910">
      <w:pPr>
        <w:spacing w:before="100" w:after="100"/>
        <w:jc w:val="center"/>
        <w:rPr>
          <w:rFonts w:ascii="Times New Roman" w:eastAsia="Times New Roman" w:hAnsi="Times New Roman" w:cs="Times New Roman"/>
          <w:b/>
          <w:bCs/>
          <w:color w:val="242B2D"/>
          <w:sz w:val="28"/>
          <w:szCs w:val="28"/>
        </w:rPr>
      </w:pPr>
    </w:p>
    <w:p w:rsidR="008E53ED" w:rsidRDefault="008E53ED" w:rsidP="00441910">
      <w:pPr>
        <w:spacing w:before="100" w:after="100"/>
        <w:jc w:val="center"/>
        <w:rPr>
          <w:rFonts w:ascii="Times New Roman" w:eastAsia="Times New Roman" w:hAnsi="Times New Roman" w:cs="Times New Roman"/>
          <w:b/>
          <w:bCs/>
          <w:color w:val="242B2D"/>
          <w:sz w:val="28"/>
          <w:szCs w:val="28"/>
        </w:rPr>
      </w:pP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lastRenderedPageBreak/>
        <w:t>Chương III</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XỬ LÝ VI PHẠM VỀ QUẢN LÝ, SỬ DỤNG TÀI SẢN CÔNG</w:t>
      </w:r>
    </w:p>
    <w:p w:rsidR="00441910" w:rsidRPr="00441910" w:rsidRDefault="00441910" w:rsidP="00441910">
      <w:pPr>
        <w:spacing w:before="100" w:after="100"/>
        <w:jc w:val="center"/>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VÀ XỬ LÝ TRÁCH NHIỆM VẬT CHẤT</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20. Xử lý vi phạm về quản lý, sử dụng tài sản công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Hình thức xử lý vi phạm về quản lý, sử dụng tài sản công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Nhắc nhở;</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Thông báo trong toàn trường;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Đề nghị hạ bậc khi xét danh hiệu thi đua;</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Đề nghị xử lý kỷ luật.</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Hình thức nhắc nhở được áp dụng đối với các bộ phận chuyên quản và cá nhân có hành vi vi phạm lần đầu các quy định về quản lý, sử dụng tài sản công.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 Trường hợp các bộ phận và cá nhân đã được nhắc nhở nhưng vẫn tiếp tục có hành vi vi phạm quy định về quản lý, sử dụng tài sản công thì bị xử lý bằng hình thức thông báo công khai trong toàn HĐSP</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 Các bộ phận, cá nhân tái diễn cùng một hành vi vi phạm từ 05 lần trở lên trong một năm hoặc tùy theo mức độ vi phạm, thì bị đề nghị hạ một cấp khi xét danh hiệu thi đua trong năm.</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5. Người vi phạm các quy định của Quy chế này để xảy ra thiệt hại tài sản công, ngoài việc bị xử lý theo các hình thức tại khoản 1 điều 19 còn phải bị xử lý trách nhiệm vật chất theo quy định hiện hành.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21. Xử lý trách nhiệm vật chất đối với người gây ra thiệt hại tài sản công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1.Hình thức xử lý trách nhiệm vật chất</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a)    Bồi thường.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b)    Bồi thường và đền bù chi phí khắc phục hậu quả do vi phạm gây ra.</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 2.Cán bộ, giáo viên, nhân viên, học sinh gây ra thiệt hại tài sản công, dù cố ý hay không cố ý, có trách nhiệm bồi thường thiệt hại theo quyết định của người có thẩm quyền.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3.Cán bộ, giáo viên, nhân viên, học sinh vi phạm các quy định của Quy chế này để xảy ra thiệt hại tài sản công hoặc gây thiệt hại công sức lao động của người khác, ngoài việc phải bồi thường giá trị tài sản bị thiệt hại còn phải đền bù chi phí khắc phục hậu quả do việc vi phạm gây ra.</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4.Mức bồi thường và đền bù chi phí khắc phục hậu quả được xây dựng trên cơ sở giá trị thiệt hại của tài sản và chi phí để khắc phục hậu quả do hành vi vi phạm gây ra.</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color w:val="242B2D"/>
          <w:sz w:val="28"/>
          <w:szCs w:val="28"/>
        </w:rPr>
        <w:t>5.Bộ phận kế toán tham mưu cho Hiệu trưởng xác định giá trị thiệt hại của tài sản làm cơ sở áp dụng trong việc xử lý trách nhiệm vật chất đối với người gây ra thiệt hại tài sản công trong trường.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           Điều 22. Thẩm quyền quyết định xử lý vi phạm về quản lý, sử dụng tài sản công và xử lý trách nhiệm vật chất</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Hiệu trưởng quyết định hình thức xử lý vi phạm quy định về quản lý, sử dụng tài sản công và hình thức xử lý trách nhiệm vật chất đối với đối tượng bị xử lý là các bộ phận hoặc các cá nhân.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Pr="00441910">
        <w:rPr>
          <w:rFonts w:ascii="Times New Roman" w:eastAsia="Times New Roman" w:hAnsi="Times New Roman" w:cs="Times New Roman"/>
          <w:b/>
          <w:bCs/>
          <w:color w:val="242B2D"/>
          <w:sz w:val="28"/>
          <w:szCs w:val="28"/>
        </w:rPr>
        <w:t>Điều 23. Hội đồng xử lý trách nhiệm vật chất</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1.Hội đồng xử lý trách nhiệm vật chất được thành lập khi có yêu cầu xử lý trách nhiệm vật chất đối với người gây ra thiệt hại tài sản công bao gồm:</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Hiệu trưởng ( hoặc phó HT )  làm Chủ tịch Hội đồng;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Đại diện BCH CĐCS 01 người, Ban TTND 01 người làm ủy viên;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Kế toán làm ủy viên;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d)    Đại diện BDDCMHS trường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e)    Trường hợp cần thiết Chủ tịch Hội đồng có thể mời chuyên gia hoặc thuê tư vấn giám định mức độ thiệt hại tài sản.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2.Hội đồng xử lý trách nhiệm vật chất có nhiệm vụ xem xét, đánh giá tính chất của hành vi gây ra thiệt hại, mức độ thiệt hại; xác định trách nhiệm của người gây ra thiệt hại và tập thể, cá nhân có liên quan; kiến nghị với người có thẩm quyền về mức và phương thức bồi thường thiệt hại.</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3.Hội đồng xử lý trách nhiệm vật chất làm việc theo nguyên tắc: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Khách quan, dân chủ và tuân theo quy định của pháp luật;</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 Việc kiến nghị mức và phương thức bồi thường được thực hiện bằng hình thức bỏ phiếu kín và theo nguyên tắc đa số;</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Các cuộc họp của Hội đồng phải có biên bản để thông qua và Chủ tịch Hội đồng ký. Trường hợp người gây ra thiệt hại được Hội đồng mời 02 lần mà không đến thì Hội đồng vẫn họp và người gây thiệt hại phải chấp hành quyết định bồi thường thiệt hại.</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Điều 24. Trình tự và thủ tục xử lý vi phạm quy định về quản lý, sử dụng tài sản công.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1.Thông báo vi phạm</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Các bộ phận và cá nhân khi phát hiện hành vi vi phạm các quy định của Quy chế này hoặc phát hiện cán bộ, giáo viên, nhân viên,học sinh làm thất thoát, mất, hư hỏng tài sản công thì thông báo bằng mọi hình thức (thông báo trực tiếp, qua điện thoại, gửi văn bản...) đến nhà trường</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2.Lập biên bản vi phạm</w:t>
      </w:r>
    </w:p>
    <w:p w:rsidR="00441910" w:rsidRPr="00441910" w:rsidRDefault="008C2BD6"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Khi nhận được thông báo về vi phạm quy định về quản lý, sử dụng tài sản công, Hiệu trưởng chỉ đạo tiến hành: Kiểm tra xác minh, nhắc nhở, sơ bộ đánh giá thiệt hại, lập biên bản vi phạm quy định về quản lý, sử dụng tài sản công; báo cáo Phòng Giáo dục.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3.Hiệu trưởng yêu cầu cán bộ, giáo viên,nhân viên hoặc học sinh vi phạm quy định về quản lý, sử dụng tài sản công hoặc gây ra thiệt hại tài sản công trong thời hạn 02 ngày viết bản tường trình về vụ việc, đề xuất hướng giải quyết.</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4.Quyết định xử lý vi phạm</w:t>
      </w:r>
    </w:p>
    <w:p w:rsidR="00441910" w:rsidRPr="00441910" w:rsidRDefault="008C2BD6" w:rsidP="00441910">
      <w:pPr>
        <w:spacing w:before="100" w:after="1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42B2D"/>
          <w:sz w:val="28"/>
          <w:szCs w:val="28"/>
        </w:rPr>
        <w:t xml:space="preserve">     </w:t>
      </w:r>
      <w:r w:rsidR="00441910" w:rsidRPr="00441910">
        <w:rPr>
          <w:rFonts w:ascii="Times New Roman" w:eastAsia="Times New Roman" w:hAnsi="Times New Roman" w:cs="Times New Roman"/>
          <w:color w:val="242B2D"/>
          <w:sz w:val="28"/>
          <w:szCs w:val="28"/>
        </w:rPr>
        <w:t>Căn cứ Điều 19 Quy chế này, biên bản vi phạm quy định về quản lý, sử dụng tài sản công và bản tường trình của người vi phạm hoặc người gây ra thiệt hại tài sản công, Hiệu trưởng xem xét, quyết định xử lý vi phạm và ra văn bản: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a) Nhắc nhở hoặc thông báo công khai trong toàn trường đối với các trường hợp bị xử lý theo các hình thức nhắc nhở</w:t>
      </w:r>
    </w:p>
    <w:p w:rsidR="00441910" w:rsidRPr="00441910" w:rsidRDefault="00441910" w:rsidP="008C2BD6">
      <w:pPr>
        <w:spacing w:before="24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b</w:t>
      </w:r>
      <w:r w:rsidR="008C2BD6">
        <w:rPr>
          <w:rFonts w:ascii="Times New Roman" w:eastAsia="Times New Roman" w:hAnsi="Times New Roman" w:cs="Times New Roman"/>
          <w:color w:val="242B2D"/>
          <w:sz w:val="28"/>
          <w:szCs w:val="28"/>
        </w:rPr>
        <w:t xml:space="preserve">, </w:t>
      </w:r>
      <w:r w:rsidRPr="00441910">
        <w:rPr>
          <w:rFonts w:ascii="Times New Roman" w:eastAsia="Times New Roman" w:hAnsi="Times New Roman" w:cs="Times New Roman"/>
          <w:color w:val="242B2D"/>
          <w:sz w:val="28"/>
          <w:szCs w:val="28"/>
        </w:rPr>
        <w:t>Thực hiện quyết định xử lý vi phạm</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c)  Trình tự xử lý kỷ luật, xem xét hạ bậc danh hiệu thi đua đối với các bộ phận và cá nhân vi phạm các quy định về quản lý, sử dụng tài sản công  thực hiện theo quy định của Luật Cán bộ, công chức, Luật Lao động, Luật thi đua khen thưởng, nội quy nhà trường và các quy định hiện hành của nhà nước.</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b/>
          <w:bCs/>
          <w:color w:val="242B2D"/>
          <w:sz w:val="28"/>
          <w:szCs w:val="28"/>
        </w:rPr>
        <w:t>Điều 25. Trình tự và thủ tục xử lý trách nhiệm vật chất đối với cán bộ, giáo viên, nhân viên và học sinh.</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1/ Trình tự :</w:t>
      </w:r>
      <w:r w:rsidRPr="00441910">
        <w:rPr>
          <w:rFonts w:ascii="Times New Roman" w:eastAsia="Times New Roman" w:hAnsi="Times New Roman" w:cs="Times New Roman"/>
          <w:b/>
          <w:bCs/>
          <w:color w:val="242B2D"/>
          <w:sz w:val="28"/>
          <w:szCs w:val="28"/>
        </w:rPr>
        <w:t> </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a)  Hiệu trưởng yêu cầu người vi phạm làm bản tường trình</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b) Lập biên bản vi phạm nêu tại khoản 2 Điều 23;</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c)  Các văn bản xác định giá trị tài sản bị thiệt hại và giá trị thiệt hại của tài sản do bộ phận kế toán cung cấp;</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đ) Các văn bản khác có liên quan.</w:t>
      </w:r>
    </w:p>
    <w:p w:rsidR="00441910" w:rsidRPr="00441910" w:rsidRDefault="00441910" w:rsidP="00804618">
      <w:pPr>
        <w:spacing w:before="100" w:after="100"/>
        <w:ind w:firstLine="72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2/ Thủ tục                              </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lastRenderedPageBreak/>
        <w:t>              a) Người có thẩm quyền nêu tại Điều 21 của Quy chế này thành lập Hội đồng xử lý trách nhiệm vật chất.</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b) Hội đồng đồng xử lý trách nhiệm vật chất xem xét, có văn bản kiến nghị mức bồi thường và phương thức bồi thường gửi đến người có thẩm quyền.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c) Quyết định bồi thường thiệt hại</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 Căn cứ kiến nghị của Hội đồng xử lý trách nhiệm vật chất, người có thẩm quyền ra quyết định bồi thường thiệt hại. Trong quyết định ghi rõ mức, phương thức và thời hạn bồi thường.</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-Trường hợp người có thẩm quyền có ý kiến khác với kiến nghị của Hội đồng xử lý trách nhiệm vật chất thì người có thẩm quyền quyết định và chịu trách nhiệm về quyết định đó trước pháp luật.</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d) Thực hiện quyết định bồi thường thiệt hại</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 Cán bộ, giáo viên, nhân viên , học sinh gây ra thiệt hại phải thực hiện đúng thời hạn, mức và phương thức bồi thường ghi trong quyết định bồi thường thiệt hại.</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 Bộ phận tài vụ nhà trường có trách nhiệm thu theo phương thức bồi thường ghi trong quyết định bồi thường thiệt hại.</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 Việc quản lý và sử dụng tiền, tài sản bồi thường thiệt hại được thực hiện theo các quy định của nhà nước.</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w:t>
      </w:r>
      <w:r w:rsidR="00804618">
        <w:rPr>
          <w:rFonts w:ascii="Times New Roman" w:eastAsia="Times New Roman" w:hAnsi="Times New Roman" w:cs="Times New Roman"/>
          <w:color w:val="242B2D"/>
          <w:sz w:val="28"/>
          <w:szCs w:val="28"/>
        </w:rPr>
        <w:tab/>
      </w:r>
      <w:r w:rsidRPr="00441910">
        <w:rPr>
          <w:rFonts w:ascii="Times New Roman" w:eastAsia="Times New Roman" w:hAnsi="Times New Roman" w:cs="Times New Roman"/>
          <w:b/>
          <w:bCs/>
          <w:color w:val="242B2D"/>
          <w:sz w:val="28"/>
          <w:szCs w:val="28"/>
        </w:rPr>
        <w:t>Điều 26. Tổ chức thực hiện</w:t>
      </w:r>
    </w:p>
    <w:p w:rsidR="00441910" w:rsidRPr="00441910" w:rsidRDefault="00441910" w:rsidP="00441910">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 Quy chế nầy sẽ được triển khai thực hiện nghiêm túc sau khi được thông qua trong HĐSP,</w:t>
      </w:r>
      <w:r w:rsidR="008C2BD6">
        <w:rPr>
          <w:rFonts w:ascii="Times New Roman" w:eastAsia="Times New Roman" w:hAnsi="Times New Roman" w:cs="Times New Roman"/>
          <w:color w:val="242B2D"/>
          <w:sz w:val="28"/>
          <w:szCs w:val="28"/>
        </w:rPr>
        <w:t xml:space="preserve"> </w:t>
      </w:r>
      <w:r w:rsidRPr="00441910">
        <w:rPr>
          <w:rFonts w:ascii="Times New Roman" w:eastAsia="Times New Roman" w:hAnsi="Times New Roman" w:cs="Times New Roman"/>
          <w:color w:val="242B2D"/>
          <w:sz w:val="28"/>
          <w:szCs w:val="28"/>
        </w:rPr>
        <w:t>hàng năm sẽ được bổ sung,điều chỉnh cho phù hợp nhưng phải được ít nhất 2/3 CBGVNV nhất trí.</w:t>
      </w:r>
    </w:p>
    <w:p w:rsidR="00441910" w:rsidRPr="00441910" w:rsidRDefault="00441910" w:rsidP="00804618">
      <w:pPr>
        <w:spacing w:before="100" w:after="100"/>
        <w:jc w:val="both"/>
        <w:rPr>
          <w:rFonts w:ascii="Times New Roman" w:eastAsia="Times New Roman" w:hAnsi="Times New Roman" w:cs="Times New Roman"/>
          <w:color w:val="000000"/>
          <w:sz w:val="27"/>
          <w:szCs w:val="27"/>
        </w:rPr>
      </w:pPr>
      <w:r w:rsidRPr="00441910">
        <w:rPr>
          <w:rFonts w:ascii="Times New Roman" w:eastAsia="Times New Roman" w:hAnsi="Times New Roman" w:cs="Times New Roman"/>
          <w:color w:val="242B2D"/>
          <w:sz w:val="28"/>
          <w:szCs w:val="28"/>
        </w:rPr>
        <w:t>                - Các tổ trưởng có trách nhiệm nhắc nhở ,đôn đốc tổ viên thực hiện ng</w:t>
      </w:r>
      <w:r w:rsidR="00804618">
        <w:rPr>
          <w:rFonts w:ascii="Times New Roman" w:eastAsia="Times New Roman" w:hAnsi="Times New Roman" w:cs="Times New Roman"/>
          <w:color w:val="242B2D"/>
          <w:sz w:val="28"/>
          <w:szCs w:val="28"/>
        </w:rPr>
        <w:t>h</w:t>
      </w:r>
      <w:r w:rsidRPr="00441910">
        <w:rPr>
          <w:rFonts w:ascii="Times New Roman" w:eastAsia="Times New Roman" w:hAnsi="Times New Roman" w:cs="Times New Roman"/>
          <w:color w:val="242B2D"/>
          <w:sz w:val="28"/>
          <w:szCs w:val="28"/>
        </w:rPr>
        <w:t>iêm túc;</w:t>
      </w:r>
    </w:p>
    <w:p w:rsidR="00AF38E3" w:rsidRPr="00AF38E3" w:rsidRDefault="00441910" w:rsidP="00AF38E3">
      <w:pPr>
        <w:ind w:firstLine="720"/>
        <w:jc w:val="both"/>
        <w:rPr>
          <w:bCs/>
          <w:iCs/>
          <w:color w:val="000000"/>
          <w:sz w:val="28"/>
          <w:szCs w:val="28"/>
          <w:lang w:val="nl-NL"/>
        </w:rPr>
      </w:pPr>
      <w:r w:rsidRPr="00441910">
        <w:rPr>
          <w:rFonts w:ascii="Times New Roman" w:eastAsia="Times New Roman" w:hAnsi="Times New Roman" w:cs="Times New Roman"/>
          <w:color w:val="000000"/>
          <w:sz w:val="28"/>
          <w:szCs w:val="28"/>
        </w:rPr>
        <w:t> </w:t>
      </w:r>
      <w:r w:rsidR="00AF38E3">
        <w:rPr>
          <w:bCs/>
          <w:iCs/>
          <w:color w:val="000000"/>
          <w:sz w:val="28"/>
          <w:szCs w:val="28"/>
          <w:lang w:val="nl-NL"/>
        </w:rPr>
        <w:t xml:space="preserve">                                                                                       </w:t>
      </w:r>
      <w:r w:rsidR="00AF38E3" w:rsidRPr="00AF38E3">
        <w:rPr>
          <w:rFonts w:ascii="Times New Roman" w:hAnsi="Times New Roman" w:cs="Times New Roman"/>
          <w:b/>
          <w:bCs/>
          <w:iCs/>
          <w:color w:val="000000"/>
          <w:sz w:val="28"/>
          <w:szCs w:val="28"/>
          <w:lang w:val="nl-NL"/>
        </w:rPr>
        <w:t>T/M BGH</w:t>
      </w:r>
    </w:p>
    <w:p w:rsidR="00AF38E3" w:rsidRPr="00AF38E3" w:rsidRDefault="00AF38E3" w:rsidP="00AF38E3">
      <w:pPr>
        <w:rPr>
          <w:rFonts w:ascii="Times New Roman" w:hAnsi="Times New Roman" w:cs="Times New Roman"/>
          <w:b/>
          <w:bCs/>
          <w:iCs/>
          <w:color w:val="000000"/>
          <w:sz w:val="28"/>
          <w:szCs w:val="28"/>
          <w:lang w:val="nl-NL"/>
        </w:rPr>
      </w:pPr>
      <w:r>
        <w:rPr>
          <w:rFonts w:ascii="Times New Roman" w:hAnsi="Times New Roman" w:cs="Times New Roman"/>
          <w:b/>
          <w:bCs/>
          <w:iCs/>
          <w:color w:val="000000"/>
          <w:sz w:val="28"/>
          <w:szCs w:val="28"/>
          <w:lang w:val="nl-NL"/>
        </w:rPr>
        <w:t xml:space="preserve">                                                                                        </w:t>
      </w:r>
      <w:r w:rsidRPr="00AF38E3">
        <w:rPr>
          <w:rFonts w:ascii="Times New Roman" w:hAnsi="Times New Roman" w:cs="Times New Roman"/>
          <w:b/>
          <w:bCs/>
          <w:iCs/>
          <w:color w:val="000000"/>
          <w:sz w:val="28"/>
          <w:szCs w:val="28"/>
          <w:lang w:val="nl-NL"/>
        </w:rPr>
        <w:t>Hiệu trưởng</w:t>
      </w:r>
    </w:p>
    <w:p w:rsidR="00AF38E3" w:rsidRPr="00AF38E3" w:rsidRDefault="00AF38E3" w:rsidP="00AF38E3">
      <w:pPr>
        <w:ind w:left="5760" w:firstLine="720"/>
        <w:jc w:val="center"/>
        <w:rPr>
          <w:rFonts w:ascii="Times New Roman" w:hAnsi="Times New Roman" w:cs="Times New Roman"/>
          <w:b/>
          <w:bCs/>
          <w:iCs/>
          <w:color w:val="000000"/>
          <w:sz w:val="28"/>
          <w:szCs w:val="28"/>
          <w:lang w:val="nl-NL"/>
        </w:rPr>
      </w:pPr>
    </w:p>
    <w:p w:rsidR="00AF38E3" w:rsidRPr="00AF38E3" w:rsidRDefault="00AF38E3" w:rsidP="00AF38E3">
      <w:pPr>
        <w:ind w:left="5760" w:firstLine="720"/>
        <w:jc w:val="center"/>
        <w:rPr>
          <w:rFonts w:ascii="Times New Roman" w:hAnsi="Times New Roman" w:cs="Times New Roman"/>
          <w:b/>
          <w:bCs/>
          <w:iCs/>
          <w:color w:val="000000"/>
          <w:sz w:val="28"/>
          <w:szCs w:val="28"/>
          <w:lang w:val="nl-NL"/>
        </w:rPr>
      </w:pPr>
    </w:p>
    <w:p w:rsidR="00AF38E3" w:rsidRPr="00AF38E3" w:rsidRDefault="00AF38E3" w:rsidP="00AF38E3">
      <w:pPr>
        <w:ind w:left="5760" w:firstLine="720"/>
        <w:jc w:val="center"/>
        <w:rPr>
          <w:rFonts w:ascii="Times New Roman" w:hAnsi="Times New Roman" w:cs="Times New Roman"/>
          <w:b/>
          <w:bCs/>
          <w:iCs/>
          <w:color w:val="000000"/>
          <w:sz w:val="28"/>
          <w:szCs w:val="28"/>
          <w:lang w:val="nl-NL"/>
        </w:rPr>
      </w:pPr>
    </w:p>
    <w:p w:rsidR="00AF38E3" w:rsidRPr="00AF38E3" w:rsidRDefault="00AF38E3" w:rsidP="00AF38E3">
      <w:pPr>
        <w:rPr>
          <w:rFonts w:ascii="Times New Roman" w:hAnsi="Times New Roman" w:cs="Times New Roman"/>
          <w:b/>
          <w:bCs/>
          <w:iCs/>
          <w:color w:val="000000"/>
          <w:sz w:val="28"/>
          <w:szCs w:val="28"/>
          <w:lang w:val="nl-NL"/>
        </w:rPr>
      </w:pPr>
      <w:r>
        <w:rPr>
          <w:rFonts w:ascii="Times New Roman" w:hAnsi="Times New Roman" w:cs="Times New Roman"/>
          <w:b/>
          <w:bCs/>
          <w:iCs/>
          <w:color w:val="000000"/>
          <w:sz w:val="28"/>
          <w:szCs w:val="28"/>
          <w:lang w:val="nl-NL"/>
        </w:rPr>
        <w:t xml:space="preserve">                                                                           Trần Thị Thanh Huyền</w:t>
      </w:r>
    </w:p>
    <w:p w:rsidR="00AF38E3" w:rsidRPr="00AF38E3" w:rsidRDefault="00AF38E3" w:rsidP="00AF38E3">
      <w:pPr>
        <w:ind w:firstLine="720"/>
        <w:jc w:val="both"/>
        <w:rPr>
          <w:rFonts w:ascii="Times New Roman" w:hAnsi="Times New Roman" w:cs="Times New Roman"/>
          <w:sz w:val="28"/>
          <w:szCs w:val="28"/>
          <w:lang w:val="nl-NL"/>
        </w:rPr>
      </w:pPr>
    </w:p>
    <w:p w:rsidR="00AF38E3" w:rsidRPr="00AF38E3" w:rsidRDefault="00AF38E3" w:rsidP="00AF38E3">
      <w:pPr>
        <w:widowControl w:val="0"/>
        <w:jc w:val="both"/>
        <w:rPr>
          <w:rStyle w:val="Emphasis"/>
          <w:rFonts w:ascii="Times New Roman" w:hAnsi="Times New Roman" w:cs="Times New Roman"/>
          <w:b/>
          <w:i w:val="0"/>
          <w:sz w:val="28"/>
          <w:szCs w:val="28"/>
        </w:rPr>
      </w:pPr>
    </w:p>
    <w:p w:rsidR="00441910" w:rsidRPr="00441910" w:rsidRDefault="00441910" w:rsidP="00441910">
      <w:pPr>
        <w:rPr>
          <w:rFonts w:ascii="Times New Roman" w:eastAsia="Times New Roman" w:hAnsi="Times New Roman" w:cs="Times New Roman"/>
          <w:color w:val="000000"/>
          <w:sz w:val="27"/>
          <w:szCs w:val="27"/>
        </w:rPr>
      </w:pPr>
    </w:p>
    <w:p w:rsidR="00785E0F" w:rsidRDefault="00785E0F"/>
    <w:sectPr w:rsidR="00785E0F" w:rsidSect="00785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04F"/>
    <w:multiLevelType w:val="multilevel"/>
    <w:tmpl w:val="75B0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1910"/>
    <w:rsid w:val="000573BB"/>
    <w:rsid w:val="000A6210"/>
    <w:rsid w:val="000B41F4"/>
    <w:rsid w:val="00103970"/>
    <w:rsid w:val="00324066"/>
    <w:rsid w:val="003B4E51"/>
    <w:rsid w:val="00441910"/>
    <w:rsid w:val="004A0AE0"/>
    <w:rsid w:val="004E5043"/>
    <w:rsid w:val="005025D4"/>
    <w:rsid w:val="005873EC"/>
    <w:rsid w:val="005A411E"/>
    <w:rsid w:val="00627AB7"/>
    <w:rsid w:val="006C6B99"/>
    <w:rsid w:val="006F30B9"/>
    <w:rsid w:val="00732628"/>
    <w:rsid w:val="007434A5"/>
    <w:rsid w:val="00751C22"/>
    <w:rsid w:val="0078286C"/>
    <w:rsid w:val="00785E0F"/>
    <w:rsid w:val="00804618"/>
    <w:rsid w:val="008C2BD6"/>
    <w:rsid w:val="008E53ED"/>
    <w:rsid w:val="00921642"/>
    <w:rsid w:val="00950E3F"/>
    <w:rsid w:val="009A3C12"/>
    <w:rsid w:val="009D44FC"/>
    <w:rsid w:val="00A52C2C"/>
    <w:rsid w:val="00A53FE9"/>
    <w:rsid w:val="00AB6DD5"/>
    <w:rsid w:val="00AF38E3"/>
    <w:rsid w:val="00C064D6"/>
    <w:rsid w:val="00CA46A4"/>
    <w:rsid w:val="00CC5708"/>
    <w:rsid w:val="00D51339"/>
    <w:rsid w:val="00DB14AD"/>
    <w:rsid w:val="00DC49B6"/>
    <w:rsid w:val="00E17164"/>
    <w:rsid w:val="00E807B6"/>
    <w:rsid w:val="00EE0DAA"/>
    <w:rsid w:val="00F36D3B"/>
    <w:rsid w:val="00FB1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910"/>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AF38E3"/>
    <w:rPr>
      <w:i/>
      <w:iCs/>
    </w:rPr>
  </w:style>
</w:styles>
</file>

<file path=word/webSettings.xml><?xml version="1.0" encoding="utf-8"?>
<w:webSettings xmlns:r="http://schemas.openxmlformats.org/officeDocument/2006/relationships" xmlns:w="http://schemas.openxmlformats.org/wordprocessingml/2006/main">
  <w:divs>
    <w:div w:id="2316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27411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2018-10-24T03:28:00Z</dcterms:created>
  <dcterms:modified xsi:type="dcterms:W3CDTF">2018-11-06T01:56:00Z</dcterms:modified>
</cp:coreProperties>
</file>